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96" w:rsidRPr="000F0596" w:rsidRDefault="000F0596" w:rsidP="000F0596">
      <w:pPr>
        <w:pStyle w:val="a4"/>
        <w:jc w:val="center"/>
        <w:rPr>
          <w:rFonts w:ascii="Times New Roman" w:hAnsi="Times New Roman" w:cs="Times New Roman"/>
          <w:sz w:val="28"/>
          <w:szCs w:val="28"/>
        </w:rPr>
      </w:pPr>
      <w:r w:rsidRPr="000F0596">
        <w:rPr>
          <w:rFonts w:ascii="Times New Roman" w:hAnsi="Times New Roman" w:cs="Times New Roman"/>
          <w:sz w:val="28"/>
          <w:szCs w:val="28"/>
        </w:rPr>
        <w:t>СОВЕТ ДЕП</w:t>
      </w:r>
      <w:r w:rsidR="00D7278C">
        <w:rPr>
          <w:rFonts w:ascii="Times New Roman" w:hAnsi="Times New Roman" w:cs="Times New Roman"/>
          <w:sz w:val="28"/>
          <w:szCs w:val="28"/>
        </w:rPr>
        <w:t xml:space="preserve">УТАТОВ БИАЗИНСКОГО  СЕЛЬСОВЕТА </w:t>
      </w:r>
      <w:r w:rsidRPr="000F0596">
        <w:rPr>
          <w:rFonts w:ascii="Times New Roman" w:hAnsi="Times New Roman" w:cs="Times New Roman"/>
          <w:sz w:val="28"/>
          <w:szCs w:val="28"/>
        </w:rPr>
        <w:t xml:space="preserve">          </w:t>
      </w:r>
    </w:p>
    <w:p w:rsidR="000F0596" w:rsidRPr="000F0596" w:rsidRDefault="000F0596" w:rsidP="000F0596">
      <w:pPr>
        <w:pStyle w:val="a4"/>
        <w:jc w:val="center"/>
        <w:rPr>
          <w:rFonts w:ascii="Times New Roman" w:hAnsi="Times New Roman" w:cs="Times New Roman"/>
          <w:sz w:val="28"/>
          <w:szCs w:val="28"/>
        </w:rPr>
      </w:pPr>
      <w:r w:rsidRPr="000F0596">
        <w:rPr>
          <w:rFonts w:ascii="Times New Roman" w:hAnsi="Times New Roman" w:cs="Times New Roman"/>
          <w:sz w:val="28"/>
          <w:szCs w:val="28"/>
        </w:rPr>
        <w:t xml:space="preserve">      СЕВЕРНОГО РАЙОНА</w:t>
      </w:r>
    </w:p>
    <w:p w:rsidR="000F0596" w:rsidRPr="000F0596" w:rsidRDefault="000F0596" w:rsidP="000F0596">
      <w:pPr>
        <w:pStyle w:val="a4"/>
        <w:jc w:val="center"/>
        <w:rPr>
          <w:rFonts w:ascii="Times New Roman" w:hAnsi="Times New Roman" w:cs="Times New Roman"/>
          <w:sz w:val="28"/>
          <w:szCs w:val="28"/>
        </w:rPr>
      </w:pPr>
      <w:r w:rsidRPr="000F0596">
        <w:rPr>
          <w:rFonts w:ascii="Times New Roman" w:hAnsi="Times New Roman" w:cs="Times New Roman"/>
          <w:sz w:val="28"/>
          <w:szCs w:val="28"/>
        </w:rPr>
        <w:t xml:space="preserve"> НОВОСИБИРСКОЙ ОБЛАСТИ</w:t>
      </w:r>
    </w:p>
    <w:p w:rsidR="000F0596" w:rsidRPr="000F0596" w:rsidRDefault="000F0596" w:rsidP="000F0596">
      <w:pPr>
        <w:pStyle w:val="a4"/>
        <w:jc w:val="center"/>
        <w:rPr>
          <w:rFonts w:ascii="Times New Roman" w:hAnsi="Times New Roman" w:cs="Times New Roman"/>
          <w:sz w:val="28"/>
          <w:szCs w:val="28"/>
        </w:rPr>
      </w:pPr>
      <w:r w:rsidRPr="000F0596">
        <w:rPr>
          <w:rFonts w:ascii="Times New Roman" w:hAnsi="Times New Roman" w:cs="Times New Roman"/>
          <w:sz w:val="28"/>
          <w:szCs w:val="28"/>
        </w:rPr>
        <w:t>Пятого созыва</w:t>
      </w:r>
    </w:p>
    <w:p w:rsidR="000F0596" w:rsidRPr="000F0596" w:rsidRDefault="00D7278C" w:rsidP="000F0596">
      <w:pPr>
        <w:pStyle w:val="a4"/>
        <w:jc w:val="center"/>
        <w:rPr>
          <w:rFonts w:ascii="Times New Roman" w:hAnsi="Times New Roman" w:cs="Times New Roman"/>
          <w:sz w:val="28"/>
          <w:szCs w:val="28"/>
        </w:rPr>
      </w:pPr>
      <w:r>
        <w:rPr>
          <w:rFonts w:ascii="Times New Roman" w:hAnsi="Times New Roman" w:cs="Times New Roman"/>
          <w:sz w:val="28"/>
          <w:szCs w:val="28"/>
        </w:rPr>
        <w:t>Сорок второй</w:t>
      </w:r>
      <w:r w:rsidR="000F0596" w:rsidRPr="000F0596">
        <w:rPr>
          <w:rFonts w:ascii="Times New Roman" w:hAnsi="Times New Roman" w:cs="Times New Roman"/>
          <w:sz w:val="28"/>
          <w:szCs w:val="28"/>
        </w:rPr>
        <w:t xml:space="preserve"> сессии</w:t>
      </w:r>
    </w:p>
    <w:p w:rsidR="000F0596" w:rsidRPr="000F0596" w:rsidRDefault="000F0596" w:rsidP="000F0596">
      <w:pPr>
        <w:pStyle w:val="a4"/>
        <w:jc w:val="center"/>
        <w:rPr>
          <w:rFonts w:ascii="Times New Roman" w:hAnsi="Times New Roman" w:cs="Times New Roman"/>
          <w:sz w:val="28"/>
          <w:szCs w:val="28"/>
        </w:rPr>
      </w:pPr>
      <w:r w:rsidRPr="000F0596">
        <w:rPr>
          <w:rFonts w:ascii="Times New Roman" w:hAnsi="Times New Roman" w:cs="Times New Roman"/>
          <w:sz w:val="28"/>
          <w:szCs w:val="28"/>
        </w:rPr>
        <w:t>с</w:t>
      </w:r>
      <w:proofErr w:type="gramStart"/>
      <w:r w:rsidRPr="000F0596">
        <w:rPr>
          <w:rFonts w:ascii="Times New Roman" w:hAnsi="Times New Roman" w:cs="Times New Roman"/>
          <w:sz w:val="28"/>
          <w:szCs w:val="28"/>
        </w:rPr>
        <w:t>.Б</w:t>
      </w:r>
      <w:proofErr w:type="gramEnd"/>
      <w:r w:rsidRPr="000F0596">
        <w:rPr>
          <w:rFonts w:ascii="Times New Roman" w:hAnsi="Times New Roman" w:cs="Times New Roman"/>
          <w:sz w:val="28"/>
          <w:szCs w:val="28"/>
        </w:rPr>
        <w:t>иаза</w:t>
      </w:r>
    </w:p>
    <w:p w:rsidR="000F0596" w:rsidRDefault="000F0596" w:rsidP="000F0596">
      <w:pPr>
        <w:pStyle w:val="a4"/>
        <w:jc w:val="center"/>
        <w:rPr>
          <w:rFonts w:ascii="Times New Roman" w:hAnsi="Times New Roman" w:cs="Times New Roman"/>
          <w:sz w:val="28"/>
          <w:szCs w:val="28"/>
        </w:rPr>
      </w:pPr>
      <w:proofErr w:type="gramStart"/>
      <w:r w:rsidRPr="000F0596">
        <w:rPr>
          <w:rFonts w:ascii="Times New Roman" w:hAnsi="Times New Roman" w:cs="Times New Roman"/>
          <w:sz w:val="28"/>
          <w:szCs w:val="28"/>
        </w:rPr>
        <w:t>Р</w:t>
      </w:r>
      <w:proofErr w:type="gramEnd"/>
      <w:r w:rsidRPr="000F0596">
        <w:rPr>
          <w:rFonts w:ascii="Times New Roman" w:hAnsi="Times New Roman" w:cs="Times New Roman"/>
          <w:sz w:val="28"/>
          <w:szCs w:val="28"/>
        </w:rPr>
        <w:t xml:space="preserve"> Е Ш Е Н И Е</w:t>
      </w:r>
    </w:p>
    <w:p w:rsidR="00AD703A" w:rsidRDefault="00AD703A" w:rsidP="000F0596">
      <w:pPr>
        <w:pStyle w:val="a4"/>
        <w:jc w:val="center"/>
        <w:rPr>
          <w:rFonts w:ascii="Times New Roman" w:hAnsi="Times New Roman" w:cs="Times New Roman"/>
          <w:sz w:val="28"/>
          <w:szCs w:val="28"/>
        </w:rPr>
      </w:pPr>
    </w:p>
    <w:p w:rsidR="00AD703A" w:rsidRDefault="00AD703A" w:rsidP="00AD703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022811">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sidRPr="00022811">
        <w:rPr>
          <w:rFonts w:ascii="Times New Roman" w:eastAsia="Times New Roman" w:hAnsi="Times New Roman" w:cs="Times New Roman"/>
          <w:sz w:val="28"/>
          <w:szCs w:val="28"/>
        </w:rPr>
        <w:t>.</w:t>
      </w:r>
      <w:r>
        <w:rPr>
          <w:rFonts w:ascii="Times New Roman" w:eastAsia="Times New Roman" w:hAnsi="Times New Roman" w:cs="Times New Roman"/>
          <w:sz w:val="28"/>
          <w:szCs w:val="28"/>
        </w:rPr>
        <w:t>2019</w:t>
      </w:r>
      <w:r w:rsidRPr="00022811">
        <w:rPr>
          <w:rFonts w:ascii="Times New Roman" w:eastAsia="Times New Roman" w:hAnsi="Times New Roman" w:cs="Times New Roman"/>
          <w:sz w:val="28"/>
          <w:szCs w:val="28"/>
        </w:rPr>
        <w:t xml:space="preserve">                                        с. Биаза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rsidR="00AD703A" w:rsidRDefault="00AD703A" w:rsidP="000F0596">
      <w:pPr>
        <w:pStyle w:val="a4"/>
        <w:jc w:val="center"/>
        <w:rPr>
          <w:rFonts w:ascii="Times New Roman" w:hAnsi="Times New Roman" w:cs="Times New Roman"/>
          <w:sz w:val="28"/>
          <w:szCs w:val="28"/>
        </w:rPr>
      </w:pPr>
    </w:p>
    <w:p w:rsidR="000F0596" w:rsidRPr="000F0596" w:rsidRDefault="000F0596" w:rsidP="000F0596">
      <w:pPr>
        <w:pStyle w:val="a4"/>
        <w:jc w:val="center"/>
        <w:rPr>
          <w:rFonts w:ascii="Times New Roman" w:hAnsi="Times New Roman" w:cs="Times New Roman"/>
          <w:sz w:val="28"/>
          <w:szCs w:val="28"/>
        </w:rPr>
      </w:pPr>
    </w:p>
    <w:p w:rsidR="00F74506" w:rsidRPr="000F0596" w:rsidRDefault="00F74506" w:rsidP="00F74506">
      <w:pPr>
        <w:pStyle w:val="a4"/>
        <w:jc w:val="center"/>
        <w:rPr>
          <w:rFonts w:ascii="Times New Roman" w:hAnsi="Times New Roman" w:cs="Times New Roman"/>
          <w:sz w:val="28"/>
          <w:szCs w:val="28"/>
        </w:rPr>
      </w:pPr>
      <w:r w:rsidRPr="000F0596">
        <w:rPr>
          <w:rFonts w:ascii="Times New Roman" w:hAnsi="Times New Roman" w:cs="Times New Roman"/>
          <w:sz w:val="28"/>
          <w:szCs w:val="28"/>
        </w:rPr>
        <w:t xml:space="preserve">Об утверждении порядка предоставления муниципальных гарантий </w:t>
      </w:r>
      <w:proofErr w:type="gramStart"/>
      <w:r w:rsidRPr="000F0596">
        <w:rPr>
          <w:rFonts w:ascii="Times New Roman" w:hAnsi="Times New Roman" w:cs="Times New Roman"/>
          <w:sz w:val="28"/>
          <w:szCs w:val="28"/>
        </w:rPr>
        <w:t>по</w:t>
      </w:r>
      <w:proofErr w:type="gramEnd"/>
    </w:p>
    <w:p w:rsidR="00F74506" w:rsidRPr="000F0596" w:rsidRDefault="00F74506" w:rsidP="00F74506">
      <w:pPr>
        <w:pStyle w:val="a4"/>
        <w:jc w:val="center"/>
        <w:rPr>
          <w:rFonts w:ascii="Times New Roman" w:hAnsi="Times New Roman" w:cs="Times New Roman"/>
          <w:color w:val="000000"/>
          <w:sz w:val="28"/>
          <w:szCs w:val="28"/>
        </w:rPr>
      </w:pPr>
      <w:r w:rsidRPr="000F0596">
        <w:rPr>
          <w:rFonts w:ascii="Times New Roman" w:hAnsi="Times New Roman" w:cs="Times New Roman"/>
          <w:sz w:val="28"/>
          <w:szCs w:val="28"/>
        </w:rPr>
        <w:t>инвестиционным проектам за счет средств местного бюджета</w:t>
      </w:r>
    </w:p>
    <w:p w:rsidR="00F74506" w:rsidRDefault="00F74506" w:rsidP="00F74506">
      <w:pPr>
        <w:rPr>
          <w:sz w:val="28"/>
          <w:szCs w:val="28"/>
        </w:rPr>
      </w:pP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Совет депутатов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РЕШИЛ:</w:t>
      </w:r>
    </w:p>
    <w:p w:rsidR="00F74506" w:rsidRDefault="00F74506" w:rsidP="00F74506">
      <w:pPr>
        <w:pStyle w:val="a4"/>
        <w:jc w:val="both"/>
        <w:rPr>
          <w:rFonts w:ascii="Times New Roman" w:hAnsi="Times New Roman" w:cs="Times New Roman"/>
          <w:b/>
          <w:sz w:val="28"/>
          <w:szCs w:val="28"/>
          <w:lang w:eastAsia="ar-SA"/>
        </w:rPr>
      </w:pPr>
      <w:r>
        <w:rPr>
          <w:rFonts w:ascii="Times New Roman" w:hAnsi="Times New Roman" w:cs="Times New Roman"/>
          <w:sz w:val="28"/>
          <w:szCs w:val="28"/>
          <w:lang w:eastAsia="zh-CN"/>
        </w:rPr>
        <w:t xml:space="preserve">      1.Утвердить </w:t>
      </w:r>
      <w:r>
        <w:rPr>
          <w:rFonts w:ascii="Times New Roman" w:hAnsi="Times New Roman" w:cs="Times New Roman"/>
          <w:sz w:val="28"/>
          <w:szCs w:val="28"/>
        </w:rPr>
        <w:t xml:space="preserve">Порядок предоставления муниципальных гарантий по инвестиционным проектам за счет средств местного бюджета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согласно Приложению.</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2.Разместить  настоящее решение  на официальном сайте администрации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и опубликовать в периодическом печатном издании «Вестник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roofErr w:type="gramStart"/>
      <w:r>
        <w:rPr>
          <w:rFonts w:ascii="Times New Roman" w:hAnsi="Times New Roman" w:cs="Times New Roman"/>
          <w:sz w:val="28"/>
          <w:szCs w:val="28"/>
        </w:rPr>
        <w:t xml:space="preserve"> .</w:t>
      </w:r>
      <w:proofErr w:type="gramEnd"/>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3.Настоящее решение вступает в силу </w:t>
      </w:r>
      <w:proofErr w:type="gramStart"/>
      <w:r>
        <w:rPr>
          <w:rFonts w:ascii="Times New Roman" w:hAnsi="Times New Roman" w:cs="Times New Roman"/>
          <w:sz w:val="28"/>
          <w:szCs w:val="28"/>
        </w:rPr>
        <w:t>с даты его</w:t>
      </w:r>
      <w:proofErr w:type="gramEnd"/>
      <w:r>
        <w:rPr>
          <w:rFonts w:ascii="Times New Roman" w:hAnsi="Times New Roman" w:cs="Times New Roman"/>
          <w:sz w:val="28"/>
          <w:szCs w:val="28"/>
        </w:rPr>
        <w:t xml:space="preserve"> официального опубликования. </w:t>
      </w: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tbl>
      <w:tblPr>
        <w:tblW w:w="20595" w:type="dxa"/>
        <w:tblLook w:val="04A0" w:firstRow="1" w:lastRow="0" w:firstColumn="1" w:lastColumn="0" w:noHBand="0" w:noVBand="1"/>
      </w:tblPr>
      <w:tblGrid>
        <w:gridCol w:w="108"/>
        <w:gridCol w:w="4819"/>
        <w:gridCol w:w="392"/>
        <w:gridCol w:w="4535"/>
        <w:gridCol w:w="676"/>
        <w:gridCol w:w="4251"/>
        <w:gridCol w:w="960"/>
        <w:gridCol w:w="3968"/>
        <w:gridCol w:w="886"/>
      </w:tblGrid>
      <w:tr w:rsidR="00F74506" w:rsidTr="00F74506">
        <w:trPr>
          <w:gridBefore w:val="1"/>
          <w:wBefore w:w="108" w:type="dxa"/>
        </w:trPr>
        <w:tc>
          <w:tcPr>
            <w:tcW w:w="5211" w:type="dxa"/>
            <w:gridSpan w:val="2"/>
            <w:hideMark/>
          </w:tcPr>
          <w:p w:rsidR="00F74506" w:rsidRDefault="00F74506" w:rsidP="00570E89">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F74506" w:rsidRDefault="008954F2" w:rsidP="00570E89">
            <w:pPr>
              <w:pStyle w:val="a4"/>
              <w:jc w:val="both"/>
              <w:rPr>
                <w:rFonts w:ascii="Times New Roman" w:hAnsi="Times New Roman" w:cs="Times New Roman"/>
                <w:sz w:val="28"/>
                <w:szCs w:val="28"/>
              </w:rPr>
            </w:pPr>
            <w:r>
              <w:rPr>
                <w:rFonts w:ascii="Times New Roman" w:hAnsi="Times New Roman" w:cs="Times New Roman"/>
                <w:sz w:val="28"/>
                <w:szCs w:val="28"/>
              </w:rPr>
              <w:t>Биазинского</w:t>
            </w:r>
            <w:r w:rsidR="00F74506">
              <w:rPr>
                <w:rFonts w:ascii="Times New Roman" w:hAnsi="Times New Roman" w:cs="Times New Roman"/>
                <w:sz w:val="28"/>
                <w:szCs w:val="28"/>
              </w:rPr>
              <w:t xml:space="preserve"> сельсовета</w:t>
            </w:r>
          </w:p>
          <w:p w:rsidR="00F74506" w:rsidRDefault="00F74506" w:rsidP="00570E89">
            <w:pPr>
              <w:pStyle w:val="a4"/>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F74506" w:rsidRDefault="00F74506" w:rsidP="00570E89">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570E89">
              <w:rPr>
                <w:rFonts w:ascii="Times New Roman" w:hAnsi="Times New Roman" w:cs="Times New Roman"/>
                <w:sz w:val="28"/>
                <w:szCs w:val="28"/>
              </w:rPr>
              <w:t>О.Ф.Маляревич</w:t>
            </w:r>
          </w:p>
        </w:tc>
        <w:tc>
          <w:tcPr>
            <w:tcW w:w="5211" w:type="dxa"/>
            <w:gridSpan w:val="2"/>
          </w:tcPr>
          <w:p w:rsidR="00F74506" w:rsidRDefault="00F74506" w:rsidP="00570E89">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Глава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
          <w:p w:rsidR="00F74506" w:rsidRDefault="00F74506" w:rsidP="00570E89">
            <w:pPr>
              <w:pStyle w:val="a4"/>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F74506" w:rsidRDefault="00F74506" w:rsidP="00570E89">
            <w:pPr>
              <w:pStyle w:val="a4"/>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p>
          <w:p w:rsidR="00F74506" w:rsidRDefault="00F74506" w:rsidP="00570E89">
            <w:pPr>
              <w:pStyle w:val="a4"/>
              <w:jc w:val="both"/>
              <w:rPr>
                <w:rFonts w:ascii="Times New Roman" w:hAnsi="Times New Roman" w:cs="Times New Roman"/>
                <w:sz w:val="28"/>
                <w:szCs w:val="28"/>
              </w:rPr>
            </w:pPr>
          </w:p>
          <w:p w:rsidR="00F74506" w:rsidRDefault="00F74506" w:rsidP="00FD640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70E89">
              <w:rPr>
                <w:rFonts w:ascii="Times New Roman" w:hAnsi="Times New Roman" w:cs="Times New Roman"/>
                <w:sz w:val="28"/>
                <w:szCs w:val="28"/>
              </w:rPr>
              <w:t>Н</w:t>
            </w:r>
            <w:r>
              <w:rPr>
                <w:rFonts w:ascii="Times New Roman" w:hAnsi="Times New Roman" w:cs="Times New Roman"/>
                <w:sz w:val="28"/>
                <w:szCs w:val="28"/>
              </w:rPr>
              <w:t>.А.</w:t>
            </w:r>
            <w:r w:rsidR="00FD640A">
              <w:rPr>
                <w:rFonts w:ascii="Times New Roman" w:hAnsi="Times New Roman" w:cs="Times New Roman"/>
                <w:sz w:val="28"/>
                <w:szCs w:val="28"/>
              </w:rPr>
              <w:t>Стебукова</w:t>
            </w:r>
          </w:p>
        </w:tc>
        <w:tc>
          <w:tcPr>
            <w:tcW w:w="5211" w:type="dxa"/>
            <w:gridSpan w:val="2"/>
          </w:tcPr>
          <w:p w:rsidR="00F74506" w:rsidRDefault="00F74506">
            <w:pPr>
              <w:pStyle w:val="a4"/>
              <w:spacing w:line="276" w:lineRule="auto"/>
              <w:jc w:val="both"/>
              <w:rPr>
                <w:rFonts w:ascii="Times New Roman" w:hAnsi="Times New Roman" w:cs="Times New Roman"/>
                <w:sz w:val="28"/>
                <w:szCs w:val="28"/>
              </w:rPr>
            </w:pPr>
          </w:p>
        </w:tc>
        <w:tc>
          <w:tcPr>
            <w:tcW w:w="4854" w:type="dxa"/>
            <w:gridSpan w:val="2"/>
          </w:tcPr>
          <w:p w:rsidR="00F74506" w:rsidRDefault="00F74506">
            <w:pPr>
              <w:pStyle w:val="a4"/>
              <w:spacing w:line="276" w:lineRule="auto"/>
              <w:jc w:val="both"/>
              <w:rPr>
                <w:rFonts w:ascii="Times New Roman" w:hAnsi="Times New Roman" w:cs="Times New Roman"/>
                <w:sz w:val="28"/>
                <w:szCs w:val="28"/>
              </w:rPr>
            </w:pPr>
          </w:p>
        </w:tc>
      </w:tr>
      <w:tr w:rsidR="00F74506" w:rsidTr="00F74506">
        <w:trPr>
          <w:gridAfter w:val="1"/>
          <w:wAfter w:w="886" w:type="dxa"/>
        </w:trPr>
        <w:tc>
          <w:tcPr>
            <w:tcW w:w="4927" w:type="dxa"/>
            <w:gridSpan w:val="2"/>
          </w:tcPr>
          <w:p w:rsidR="00F74506" w:rsidRDefault="00F74506">
            <w:pPr>
              <w:spacing w:line="276" w:lineRule="auto"/>
              <w:jc w:val="right"/>
              <w:rPr>
                <w:rStyle w:val="a5"/>
                <w:bCs/>
                <w:sz w:val="28"/>
                <w:szCs w:val="28"/>
              </w:rPr>
            </w:pPr>
          </w:p>
        </w:tc>
        <w:tc>
          <w:tcPr>
            <w:tcW w:w="4927" w:type="dxa"/>
            <w:gridSpan w:val="2"/>
          </w:tcPr>
          <w:p w:rsidR="00F74506" w:rsidRDefault="00F74506">
            <w:pPr>
              <w:spacing w:line="276" w:lineRule="auto"/>
              <w:rPr>
                <w:rStyle w:val="a5"/>
                <w:bCs/>
                <w:sz w:val="28"/>
                <w:szCs w:val="28"/>
              </w:rPr>
            </w:pPr>
          </w:p>
          <w:p w:rsidR="00570E89" w:rsidRDefault="00570E89">
            <w:pPr>
              <w:spacing w:line="276" w:lineRule="auto"/>
              <w:rPr>
                <w:rStyle w:val="a5"/>
                <w:bCs/>
                <w:sz w:val="28"/>
                <w:szCs w:val="28"/>
              </w:rPr>
            </w:pPr>
          </w:p>
          <w:p w:rsidR="00570E89" w:rsidRDefault="00570E89">
            <w:pPr>
              <w:spacing w:line="276" w:lineRule="auto"/>
              <w:rPr>
                <w:rStyle w:val="a5"/>
                <w:bCs/>
                <w:sz w:val="28"/>
                <w:szCs w:val="28"/>
              </w:rPr>
            </w:pPr>
          </w:p>
          <w:p w:rsidR="00570E89" w:rsidRDefault="00570E89">
            <w:pPr>
              <w:spacing w:line="276" w:lineRule="auto"/>
              <w:rPr>
                <w:rStyle w:val="a5"/>
                <w:bCs/>
                <w:sz w:val="28"/>
                <w:szCs w:val="28"/>
              </w:rPr>
            </w:pPr>
          </w:p>
        </w:tc>
        <w:tc>
          <w:tcPr>
            <w:tcW w:w="4927" w:type="dxa"/>
            <w:gridSpan w:val="2"/>
          </w:tcPr>
          <w:p w:rsidR="00F74506" w:rsidRDefault="00F74506">
            <w:pPr>
              <w:spacing w:line="276" w:lineRule="auto"/>
              <w:jc w:val="right"/>
              <w:rPr>
                <w:rStyle w:val="a5"/>
                <w:bCs/>
                <w:sz w:val="28"/>
                <w:szCs w:val="28"/>
              </w:rPr>
            </w:pPr>
          </w:p>
        </w:tc>
        <w:tc>
          <w:tcPr>
            <w:tcW w:w="4928" w:type="dxa"/>
            <w:gridSpan w:val="2"/>
          </w:tcPr>
          <w:p w:rsidR="00F74506" w:rsidRDefault="00F74506">
            <w:pPr>
              <w:spacing w:line="276" w:lineRule="auto"/>
              <w:ind w:firstLine="567"/>
              <w:jc w:val="right"/>
            </w:pPr>
          </w:p>
          <w:p w:rsidR="00F74506" w:rsidRDefault="00F74506">
            <w:pPr>
              <w:spacing w:line="276" w:lineRule="auto"/>
              <w:ind w:firstLine="567"/>
              <w:jc w:val="right"/>
            </w:pPr>
          </w:p>
          <w:p w:rsidR="00F74506" w:rsidRDefault="00F74506">
            <w:pPr>
              <w:spacing w:line="276" w:lineRule="auto"/>
              <w:ind w:firstLine="567"/>
              <w:jc w:val="right"/>
            </w:pPr>
          </w:p>
          <w:p w:rsidR="00F74506" w:rsidRDefault="00F74506">
            <w:pPr>
              <w:spacing w:line="276" w:lineRule="auto"/>
              <w:ind w:firstLine="567"/>
              <w:jc w:val="right"/>
            </w:pPr>
          </w:p>
          <w:p w:rsidR="00F74506" w:rsidRDefault="00F74506">
            <w:pPr>
              <w:spacing w:line="276" w:lineRule="auto"/>
              <w:ind w:firstLine="567"/>
              <w:jc w:val="right"/>
            </w:pPr>
            <w:r>
              <w:t>орского района</w:t>
            </w:r>
          </w:p>
          <w:p w:rsidR="00F74506" w:rsidRDefault="00F74506">
            <w:pPr>
              <w:spacing w:line="276" w:lineRule="auto"/>
              <w:ind w:firstLine="567"/>
              <w:jc w:val="center"/>
            </w:pPr>
          </w:p>
          <w:p w:rsidR="00F74506" w:rsidRDefault="00F74506">
            <w:pPr>
              <w:spacing w:line="276" w:lineRule="auto"/>
              <w:jc w:val="center"/>
              <w:rPr>
                <w:rStyle w:val="a5"/>
                <w:bCs/>
                <w:sz w:val="28"/>
                <w:szCs w:val="28"/>
              </w:rPr>
            </w:pPr>
            <w:proofErr w:type="gramStart"/>
            <w:r>
              <w:rPr>
                <w:rStyle w:val="a5"/>
                <w:bCs/>
                <w:sz w:val="28"/>
                <w:szCs w:val="28"/>
              </w:rPr>
              <w:lastRenderedPageBreak/>
              <w:t>П</w:t>
            </w:r>
            <w:proofErr w:type="gramEnd"/>
          </w:p>
        </w:tc>
      </w:tr>
    </w:tbl>
    <w:p w:rsidR="00F74506" w:rsidRDefault="00F74506" w:rsidP="00FD640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F74506" w:rsidRDefault="00F74506" w:rsidP="00FD6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 </w:t>
      </w:r>
      <w:r w:rsidR="008954F2">
        <w:rPr>
          <w:rFonts w:ascii="Times New Roman" w:hAnsi="Times New Roman" w:cs="Times New Roman"/>
          <w:sz w:val="24"/>
          <w:szCs w:val="24"/>
        </w:rPr>
        <w:t>Биазинского</w:t>
      </w:r>
    </w:p>
    <w:p w:rsidR="00F74506" w:rsidRDefault="00F74506" w:rsidP="00FD640A">
      <w:pPr>
        <w:pStyle w:val="ConsPlusNonformat"/>
        <w:jc w:val="right"/>
        <w:rPr>
          <w:rFonts w:ascii="Times New Roman" w:hAnsi="Times New Roman" w:cs="Times New Roman"/>
          <w:sz w:val="24"/>
          <w:szCs w:val="24"/>
        </w:rPr>
      </w:pPr>
      <w:r>
        <w:rPr>
          <w:rFonts w:ascii="Times New Roman" w:hAnsi="Times New Roman" w:cs="Times New Roman"/>
          <w:sz w:val="24"/>
          <w:szCs w:val="24"/>
        </w:rPr>
        <w:t>сельсовета Северного района</w:t>
      </w:r>
    </w:p>
    <w:p w:rsidR="00F74506" w:rsidRDefault="00F74506" w:rsidP="00FD6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F74506" w:rsidRDefault="00F74506" w:rsidP="00FD640A">
      <w:pPr>
        <w:pStyle w:val="a4"/>
        <w:jc w:val="right"/>
        <w:rPr>
          <w:rFonts w:ascii="Times New Roman" w:hAnsi="Times New Roman" w:cs="Times New Roman"/>
          <w:b/>
          <w:sz w:val="28"/>
          <w:szCs w:val="28"/>
        </w:rPr>
      </w:pPr>
      <w:r>
        <w:rPr>
          <w:rFonts w:ascii="Times New Roman" w:hAnsi="Times New Roman" w:cs="Times New Roman"/>
          <w:sz w:val="24"/>
          <w:szCs w:val="24"/>
        </w:rPr>
        <w:t xml:space="preserve">                                                                                                             от </w:t>
      </w:r>
      <w:r w:rsidR="00D7278C">
        <w:rPr>
          <w:rFonts w:ascii="Times New Roman" w:hAnsi="Times New Roman" w:cs="Times New Roman"/>
          <w:sz w:val="24"/>
          <w:szCs w:val="24"/>
        </w:rPr>
        <w:t>17.06.2019</w:t>
      </w:r>
      <w:r>
        <w:rPr>
          <w:rFonts w:ascii="Times New Roman" w:hAnsi="Times New Roman" w:cs="Times New Roman"/>
          <w:sz w:val="24"/>
          <w:szCs w:val="24"/>
        </w:rPr>
        <w:t xml:space="preserve"> №</w:t>
      </w:r>
      <w:r w:rsidR="00D7278C">
        <w:rPr>
          <w:rFonts w:ascii="Times New Roman" w:hAnsi="Times New Roman" w:cs="Times New Roman"/>
          <w:sz w:val="24"/>
          <w:szCs w:val="24"/>
        </w:rPr>
        <w:t>2</w:t>
      </w:r>
    </w:p>
    <w:p w:rsidR="00F74506" w:rsidRDefault="00F74506" w:rsidP="00F74506">
      <w:pPr>
        <w:pStyle w:val="a4"/>
        <w:jc w:val="center"/>
        <w:rPr>
          <w:rFonts w:ascii="Times New Roman" w:hAnsi="Times New Roman" w:cs="Times New Roman"/>
          <w:b/>
          <w:sz w:val="28"/>
          <w:szCs w:val="28"/>
        </w:rPr>
      </w:pPr>
    </w:p>
    <w:p w:rsidR="00F74506" w:rsidRDefault="00F74506" w:rsidP="00F22122">
      <w:pPr>
        <w:pStyle w:val="a4"/>
        <w:rPr>
          <w:rFonts w:ascii="Times New Roman" w:hAnsi="Times New Roman" w:cs="Times New Roman"/>
          <w:b/>
          <w:sz w:val="28"/>
          <w:szCs w:val="28"/>
        </w:rPr>
      </w:pPr>
      <w:bookmarkStart w:id="0" w:name="_GoBack"/>
      <w:bookmarkEnd w:id="0"/>
    </w:p>
    <w:p w:rsidR="00F74506" w:rsidRDefault="00F74506" w:rsidP="00F74506">
      <w:pPr>
        <w:pStyle w:val="a4"/>
        <w:jc w:val="center"/>
        <w:rPr>
          <w:rFonts w:ascii="Times New Roman" w:hAnsi="Times New Roman" w:cs="Times New Roman"/>
          <w:b/>
          <w:sz w:val="28"/>
          <w:szCs w:val="28"/>
        </w:rPr>
      </w:pPr>
    </w:p>
    <w:p w:rsidR="00F74506" w:rsidRPr="00B214FD" w:rsidRDefault="00F74506" w:rsidP="00F74506">
      <w:pPr>
        <w:pStyle w:val="a4"/>
        <w:jc w:val="center"/>
        <w:rPr>
          <w:rFonts w:ascii="Times New Roman" w:hAnsi="Times New Roman" w:cs="Times New Roman"/>
          <w:sz w:val="28"/>
          <w:szCs w:val="28"/>
        </w:rPr>
      </w:pPr>
      <w:r w:rsidRPr="00B214FD">
        <w:rPr>
          <w:rFonts w:ascii="Times New Roman" w:hAnsi="Times New Roman" w:cs="Times New Roman"/>
          <w:sz w:val="28"/>
          <w:szCs w:val="28"/>
        </w:rPr>
        <w:t>ПОРЯДОК</w:t>
      </w:r>
    </w:p>
    <w:p w:rsidR="00F74506" w:rsidRPr="00B214FD" w:rsidRDefault="00F74506" w:rsidP="00F74506">
      <w:pPr>
        <w:pStyle w:val="a4"/>
        <w:jc w:val="center"/>
        <w:rPr>
          <w:rFonts w:ascii="Times New Roman" w:hAnsi="Times New Roman" w:cs="Times New Roman"/>
          <w:sz w:val="28"/>
          <w:szCs w:val="28"/>
        </w:rPr>
      </w:pPr>
      <w:r w:rsidRPr="00B214FD">
        <w:rPr>
          <w:rFonts w:ascii="Times New Roman" w:hAnsi="Times New Roman" w:cs="Times New Roman"/>
          <w:sz w:val="28"/>
          <w:szCs w:val="28"/>
        </w:rPr>
        <w:t xml:space="preserve">предоставления муниципальных гарантий по </w:t>
      </w:r>
      <w:proofErr w:type="gramStart"/>
      <w:r w:rsidRPr="00B214FD">
        <w:rPr>
          <w:rFonts w:ascii="Times New Roman" w:hAnsi="Times New Roman" w:cs="Times New Roman"/>
          <w:sz w:val="28"/>
          <w:szCs w:val="28"/>
        </w:rPr>
        <w:t>инвестиционным</w:t>
      </w:r>
      <w:proofErr w:type="gramEnd"/>
    </w:p>
    <w:p w:rsidR="00F74506" w:rsidRPr="00B214FD" w:rsidRDefault="00F74506" w:rsidP="00F74506">
      <w:pPr>
        <w:pStyle w:val="a4"/>
        <w:jc w:val="center"/>
        <w:rPr>
          <w:rFonts w:ascii="Times New Roman" w:hAnsi="Times New Roman" w:cs="Times New Roman"/>
          <w:sz w:val="28"/>
          <w:szCs w:val="28"/>
        </w:rPr>
      </w:pPr>
      <w:r w:rsidRPr="00B214FD">
        <w:rPr>
          <w:rFonts w:ascii="Times New Roman" w:hAnsi="Times New Roman" w:cs="Times New Roman"/>
          <w:sz w:val="28"/>
          <w:szCs w:val="28"/>
        </w:rPr>
        <w:t>проектам за счет средств местного бюджета</w:t>
      </w:r>
    </w:p>
    <w:p w:rsidR="00F74506" w:rsidRDefault="00F74506" w:rsidP="00F74506">
      <w:pPr>
        <w:ind w:firstLine="567"/>
        <w:jc w:val="both"/>
      </w:pPr>
    </w:p>
    <w:p w:rsidR="00F74506" w:rsidRDefault="00F74506" w:rsidP="00F74506">
      <w:pPr>
        <w:numPr>
          <w:ilvl w:val="0"/>
          <w:numId w:val="1"/>
        </w:numPr>
        <w:jc w:val="center"/>
        <w:rPr>
          <w:sz w:val="28"/>
          <w:szCs w:val="28"/>
        </w:rPr>
      </w:pPr>
      <w:r>
        <w:rPr>
          <w:sz w:val="28"/>
          <w:szCs w:val="28"/>
        </w:rPr>
        <w:t>Общие положения</w:t>
      </w:r>
    </w:p>
    <w:p w:rsidR="00F74506" w:rsidRDefault="00F74506" w:rsidP="00F74506">
      <w:pPr>
        <w:ind w:left="567"/>
        <w:rPr>
          <w:sz w:val="28"/>
          <w:szCs w:val="28"/>
        </w:rPr>
      </w:pP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1.1. Термины и понятия, применяемые в целях настоящего Порядка:</w:t>
      </w:r>
    </w:p>
    <w:p w:rsidR="00F74506" w:rsidRDefault="00F74506" w:rsidP="00F7450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i/>
          <w:sz w:val="28"/>
          <w:szCs w:val="28"/>
        </w:rPr>
        <w:t>муниципальная гарантия на цели реализации инвестиционных проекто</w:t>
      </w:r>
      <w:r>
        <w:rPr>
          <w:rFonts w:ascii="Times New Roman" w:hAnsi="Times New Roman" w:cs="Times New Roman"/>
          <w:sz w:val="28"/>
          <w:szCs w:val="28"/>
        </w:rPr>
        <w:t xml:space="preserve">в (далее по тексту - муниципальная гарантия) - вид долгового обязательства, в силу которого администрация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w:t>
      </w:r>
      <w:proofErr w:type="gramEnd"/>
      <w:r>
        <w:rPr>
          <w:rFonts w:ascii="Times New Roman" w:hAnsi="Times New Roman" w:cs="Times New Roman"/>
          <w:sz w:val="28"/>
          <w:szCs w:val="28"/>
        </w:rPr>
        <w:t xml:space="preserve"> условиями даваемого гарантом обязательства, отвечать за исполнение третьим лицом (принципалом) его обязательства перед бенефициаром;</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бенефициар</w:t>
      </w:r>
      <w:r>
        <w:rPr>
          <w:rFonts w:ascii="Times New Roman" w:hAnsi="Times New Roman" w:cs="Times New Roman"/>
          <w:sz w:val="28"/>
          <w:szCs w:val="28"/>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принципал</w:t>
      </w:r>
      <w:r>
        <w:rPr>
          <w:rFonts w:ascii="Times New Roman" w:hAnsi="Times New Roman" w:cs="Times New Roman"/>
          <w:sz w:val="28"/>
          <w:szCs w:val="28"/>
        </w:rPr>
        <w:t xml:space="preserve"> - должник бенефициара по обязательству, обеспеченному муниципальной гарантией;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муниципальный долг</w:t>
      </w:r>
      <w:r>
        <w:rPr>
          <w:rFonts w:ascii="Times New Roman" w:hAnsi="Times New Roman" w:cs="Times New Roman"/>
          <w:sz w:val="28"/>
          <w:szCs w:val="28"/>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1.2. Органом местного самоуправления, уполномоченным от имени администрации Северного района  выдавать гарантии, является администрация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w:t>
      </w:r>
      <w:r>
        <w:rPr>
          <w:rFonts w:ascii="Times New Roman" w:hAnsi="Times New Roman" w:cs="Times New Roman"/>
          <w:sz w:val="28"/>
          <w:szCs w:val="28"/>
        </w:rPr>
        <w:lastRenderedPageBreak/>
        <w:t>продукции, выпускаемой на территории муниципального образования, решение социальных проблем.</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1.4. Предельный размер средств, на которые могут быть предоставлены гарантии администрации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по займам и кредитам на цели реализации инвестиционных проектов, определяется администрацией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при утверждении бюджета муниципального образования на следующий финансовый год.</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1.5. В муниципальной гарантии должны быть указаны:</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сведения о муниципальном образовании « Б</w:t>
      </w:r>
      <w:r w:rsidR="00AB4CEE">
        <w:rPr>
          <w:rFonts w:ascii="Times New Roman" w:hAnsi="Times New Roman" w:cs="Times New Roman"/>
          <w:sz w:val="28"/>
          <w:szCs w:val="28"/>
        </w:rPr>
        <w:t>иазинский</w:t>
      </w:r>
      <w:r>
        <w:rPr>
          <w:rFonts w:ascii="Times New Roman" w:hAnsi="Times New Roman" w:cs="Times New Roman"/>
          <w:sz w:val="28"/>
          <w:szCs w:val="28"/>
        </w:rPr>
        <w:t xml:space="preserve"> сельсовет», включающие полное наименование администрации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обязательство, в обеспечение которого выдается гарантия;</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объем обязательств гаранта по муниципальной гарантии и предельная сумма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определение гарантийного случая;</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наименование принципала;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безотзывность гарантии или условия ее отзыва;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основания для выдачи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вступление в силу (дата выдачи)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срок действия муниципальной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порядок исполнения гарантом обязательств по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порядок и условия сокращения предельной суммы гарантии при исполнении гарантии и (или) исполнении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обеспеченных гарантией;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иные условия гарантии, а также сведения, определенные Бюджетным кодексом Российской Федерации.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1.6. Письменная форма муниципальной гарантии является обязательной.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Несоблюдение письменной формы муниципальной гарантии влечет ее недействительность (ничтожность). </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Срок действия гарантии определяется условиями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1.7. Условия муниципальной гарантии не могут быть изменены гарантом без согласия бенефициара.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Гарант имеет право отозвать муниципальную гарантию только по основаниям, указанным в гарантии.</w:t>
      </w:r>
    </w:p>
    <w:p w:rsidR="00F74506" w:rsidRDefault="00F74506" w:rsidP="00F74506">
      <w:pPr>
        <w:pStyle w:val="a4"/>
        <w:jc w:val="both"/>
        <w:rPr>
          <w:rFonts w:ascii="Times New Roman" w:hAnsi="Times New Roman" w:cs="Times New Roman"/>
          <w:sz w:val="28"/>
          <w:szCs w:val="28"/>
        </w:rPr>
      </w:pPr>
    </w:p>
    <w:p w:rsidR="00F74506" w:rsidRPr="00B214FD" w:rsidRDefault="00F74506" w:rsidP="00F74506">
      <w:pPr>
        <w:pStyle w:val="a4"/>
        <w:jc w:val="center"/>
        <w:rPr>
          <w:rFonts w:ascii="Times New Roman" w:hAnsi="Times New Roman" w:cs="Times New Roman"/>
          <w:sz w:val="28"/>
          <w:szCs w:val="28"/>
        </w:rPr>
      </w:pPr>
      <w:r w:rsidRPr="00B214FD">
        <w:rPr>
          <w:rFonts w:ascii="Times New Roman" w:hAnsi="Times New Roman" w:cs="Times New Roman"/>
          <w:sz w:val="28"/>
          <w:szCs w:val="28"/>
        </w:rPr>
        <w:t>2.Условия предоставления муниципальной гарантии</w:t>
      </w:r>
    </w:p>
    <w:p w:rsidR="00F74506" w:rsidRDefault="00F74506" w:rsidP="00F74506">
      <w:pPr>
        <w:pStyle w:val="a4"/>
        <w:jc w:val="both"/>
        <w:rPr>
          <w:rFonts w:ascii="Times New Roman" w:hAnsi="Times New Roman" w:cs="Times New Roman"/>
          <w:b/>
          <w:sz w:val="28"/>
          <w:szCs w:val="28"/>
        </w:rPr>
      </w:pP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2.1. </w:t>
      </w:r>
      <w:proofErr w:type="gramStart"/>
      <w:r>
        <w:rPr>
          <w:rFonts w:ascii="Times New Roman" w:hAnsi="Times New Roman" w:cs="Times New Roman"/>
          <w:sz w:val="28"/>
          <w:szCs w:val="28"/>
        </w:rPr>
        <w:t xml:space="preserve">Обязательными условиями, учитываемыми при выдаче муниципальных гарантий администрацией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являются</w:t>
      </w:r>
      <w:proofErr w:type="gramEnd"/>
      <w:r>
        <w:rPr>
          <w:rFonts w:ascii="Times New Roman" w:hAnsi="Times New Roman" w:cs="Times New Roman"/>
          <w:sz w:val="28"/>
          <w:szCs w:val="28"/>
        </w:rPr>
        <w:t>:</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анализа финансового состояния принципала;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соблюдение принципалом бюджетного и налогового законодательства;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отсутствие у принципала, его поручителей просроченной задолженности по денежным обязательствам перед администрацией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2.2. </w:t>
      </w:r>
      <w:proofErr w:type="gramStart"/>
      <w:r>
        <w:rPr>
          <w:rFonts w:ascii="Times New Roman" w:hAnsi="Times New Roman" w:cs="Times New Roman"/>
          <w:sz w:val="28"/>
          <w:szCs w:val="28"/>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Pr>
          <w:rFonts w:ascii="Times New Roman" w:hAnsi="Times New Roman" w:cs="Times New Roman"/>
          <w:sz w:val="28"/>
          <w:szCs w:val="28"/>
        </w:rPr>
        <w:t xml:space="preserve"> При предоставлении указанных гарантий обеспечение исполнения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перед гарантом, которые могут возникнуть в связи с предъявлением гарантом регрессных требований к принципалу, не требуется.</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письменного заявления на предоставление муниципальной гарантии, в котором указываются:</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полное наименование заявителя, его юридический и фактический адреса;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обязательство, в обеспечение которого запрашивается гарантия, его сумма и срок;</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наименование и адрес бенефициара, которому будет предоставлена полученная муниципальная гарантия;</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направления расходования средств, предоставленных по обязательствам, обеспеченным муниципальной гарантией.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2.4. К заявлению должны быть приложены следующие документы:</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документы, устанавливающие полномочия лиц, подписывающих договор о предоставлении муниципальной гарантии;</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учредительные документы (подлинники) или их копии, заверенные организацией;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технико-экономические обоснования, характеризующие окупаемость заимствований;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lastRenderedPageBreak/>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язык.</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2.5. администрация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2.6. администрация </w:t>
      </w:r>
      <w:r w:rsidR="008954F2">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F74506" w:rsidRDefault="00F74506" w:rsidP="00F74506">
      <w:pPr>
        <w:pStyle w:val="a4"/>
        <w:jc w:val="both"/>
        <w:rPr>
          <w:rFonts w:ascii="Times New Roman" w:hAnsi="Times New Roman" w:cs="Times New Roman"/>
          <w:sz w:val="28"/>
          <w:szCs w:val="28"/>
        </w:rPr>
      </w:pPr>
    </w:p>
    <w:p w:rsidR="00F74506" w:rsidRPr="00B214FD" w:rsidRDefault="00F74506" w:rsidP="00F74506">
      <w:pPr>
        <w:pStyle w:val="a4"/>
        <w:tabs>
          <w:tab w:val="left" w:pos="3960"/>
        </w:tabs>
        <w:jc w:val="center"/>
        <w:rPr>
          <w:rFonts w:ascii="Times New Roman" w:hAnsi="Times New Roman" w:cs="Times New Roman"/>
          <w:sz w:val="28"/>
          <w:szCs w:val="28"/>
        </w:rPr>
      </w:pPr>
      <w:r w:rsidRPr="00B214FD">
        <w:rPr>
          <w:rFonts w:ascii="Times New Roman" w:hAnsi="Times New Roman" w:cs="Times New Roman"/>
          <w:sz w:val="28"/>
          <w:szCs w:val="28"/>
        </w:rPr>
        <w:t>3.Заключительные положения</w:t>
      </w:r>
    </w:p>
    <w:p w:rsidR="00F74506" w:rsidRDefault="00F74506" w:rsidP="00F74506">
      <w:pPr>
        <w:pStyle w:val="a4"/>
        <w:jc w:val="center"/>
        <w:rPr>
          <w:rFonts w:ascii="Times New Roman" w:hAnsi="Times New Roman" w:cs="Times New Roman"/>
          <w:b/>
          <w:sz w:val="28"/>
          <w:szCs w:val="28"/>
        </w:rPr>
      </w:pP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F74506" w:rsidRDefault="00F74506" w:rsidP="00F74506">
      <w:pPr>
        <w:pStyle w:val="a4"/>
        <w:jc w:val="both"/>
        <w:rPr>
          <w:rFonts w:ascii="Times New Roman" w:hAnsi="Times New Roman" w:cs="Times New Roman"/>
          <w:sz w:val="28"/>
          <w:szCs w:val="28"/>
        </w:rPr>
      </w:pPr>
      <w:r>
        <w:rPr>
          <w:rFonts w:ascii="Times New Roman" w:hAnsi="Times New Roman" w:cs="Times New Roman"/>
          <w:sz w:val="28"/>
          <w:szCs w:val="28"/>
        </w:rPr>
        <w:t xml:space="preserve">    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Pr>
        <w:pStyle w:val="a4"/>
        <w:jc w:val="both"/>
        <w:rPr>
          <w:rFonts w:ascii="Times New Roman" w:hAnsi="Times New Roman" w:cs="Times New Roman"/>
          <w:sz w:val="28"/>
          <w:szCs w:val="28"/>
        </w:rPr>
      </w:pPr>
    </w:p>
    <w:p w:rsidR="00F74506" w:rsidRDefault="00F74506" w:rsidP="00F74506"/>
    <w:p w:rsidR="00F74506" w:rsidRDefault="00F74506" w:rsidP="00F74506"/>
    <w:p w:rsidR="00FD5560" w:rsidRDefault="00FD5560"/>
    <w:sectPr w:rsidR="00FD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0FA"/>
    <w:multiLevelType w:val="hybridMultilevel"/>
    <w:tmpl w:val="51885240"/>
    <w:lvl w:ilvl="0" w:tplc="E656272C">
      <w:start w:val="1"/>
      <w:numFmt w:val="decimal"/>
      <w:lvlText w:val="%1."/>
      <w:lvlJc w:val="left"/>
      <w:pPr>
        <w:ind w:left="927"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72"/>
    <w:rsid w:val="00083DE7"/>
    <w:rsid w:val="000F0596"/>
    <w:rsid w:val="00230DF7"/>
    <w:rsid w:val="00384C49"/>
    <w:rsid w:val="00457FF2"/>
    <w:rsid w:val="00467672"/>
    <w:rsid w:val="00570E89"/>
    <w:rsid w:val="00771BF5"/>
    <w:rsid w:val="008954F2"/>
    <w:rsid w:val="00AB4CEE"/>
    <w:rsid w:val="00AD703A"/>
    <w:rsid w:val="00B214FD"/>
    <w:rsid w:val="00C453FD"/>
    <w:rsid w:val="00D7278C"/>
    <w:rsid w:val="00F22122"/>
    <w:rsid w:val="00F74506"/>
    <w:rsid w:val="00FD5560"/>
    <w:rsid w:val="00FD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0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basedOn w:val="a0"/>
    <w:link w:val="a4"/>
    <w:uiPriority w:val="1"/>
    <w:locked/>
    <w:rsid w:val="00F74506"/>
    <w:rPr>
      <w:rFonts w:ascii="Calibri" w:hAnsi="Calibri" w:cs="Calibri"/>
    </w:rPr>
  </w:style>
  <w:style w:type="paragraph" w:styleId="a4">
    <w:name w:val="No Spacing"/>
    <w:aliases w:val="с интервалом,Без интервала1,No Spacing1,No Spacing"/>
    <w:link w:val="a3"/>
    <w:uiPriority w:val="1"/>
    <w:qFormat/>
    <w:rsid w:val="00F74506"/>
    <w:pPr>
      <w:spacing w:after="0" w:line="240" w:lineRule="auto"/>
    </w:pPr>
    <w:rPr>
      <w:rFonts w:ascii="Calibri" w:hAnsi="Calibri" w:cs="Calibri"/>
    </w:rPr>
  </w:style>
  <w:style w:type="paragraph" w:customStyle="1" w:styleId="ConsPlusNonformat">
    <w:name w:val="ConsPlusNonformat"/>
    <w:uiPriority w:val="99"/>
    <w:rsid w:val="00F745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Цветовое выделение"/>
    <w:uiPriority w:val="99"/>
    <w:rsid w:val="00F74506"/>
    <w:rPr>
      <w:b/>
      <w:bCs w:val="0"/>
      <w:color w:val="26282F"/>
    </w:rPr>
  </w:style>
  <w:style w:type="paragraph" w:styleId="a6">
    <w:name w:val="Balloon Text"/>
    <w:basedOn w:val="a"/>
    <w:link w:val="a7"/>
    <w:uiPriority w:val="99"/>
    <w:semiHidden/>
    <w:unhideWhenUsed/>
    <w:rsid w:val="00B214FD"/>
    <w:rPr>
      <w:rFonts w:ascii="Tahoma" w:hAnsi="Tahoma" w:cs="Tahoma"/>
      <w:sz w:val="16"/>
      <w:szCs w:val="16"/>
    </w:rPr>
  </w:style>
  <w:style w:type="character" w:customStyle="1" w:styleId="a7">
    <w:name w:val="Текст выноски Знак"/>
    <w:basedOn w:val="a0"/>
    <w:link w:val="a6"/>
    <w:uiPriority w:val="99"/>
    <w:semiHidden/>
    <w:rsid w:val="00B214FD"/>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0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basedOn w:val="a0"/>
    <w:link w:val="a4"/>
    <w:uiPriority w:val="1"/>
    <w:locked/>
    <w:rsid w:val="00F74506"/>
    <w:rPr>
      <w:rFonts w:ascii="Calibri" w:hAnsi="Calibri" w:cs="Calibri"/>
    </w:rPr>
  </w:style>
  <w:style w:type="paragraph" w:styleId="a4">
    <w:name w:val="No Spacing"/>
    <w:aliases w:val="с интервалом,Без интервала1,No Spacing1,No Spacing"/>
    <w:link w:val="a3"/>
    <w:uiPriority w:val="1"/>
    <w:qFormat/>
    <w:rsid w:val="00F74506"/>
    <w:pPr>
      <w:spacing w:after="0" w:line="240" w:lineRule="auto"/>
    </w:pPr>
    <w:rPr>
      <w:rFonts w:ascii="Calibri" w:hAnsi="Calibri" w:cs="Calibri"/>
    </w:rPr>
  </w:style>
  <w:style w:type="paragraph" w:customStyle="1" w:styleId="ConsPlusNonformat">
    <w:name w:val="ConsPlusNonformat"/>
    <w:uiPriority w:val="99"/>
    <w:rsid w:val="00F745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Цветовое выделение"/>
    <w:uiPriority w:val="99"/>
    <w:rsid w:val="00F74506"/>
    <w:rPr>
      <w:b/>
      <w:bCs w:val="0"/>
      <w:color w:val="26282F"/>
    </w:rPr>
  </w:style>
  <w:style w:type="paragraph" w:styleId="a6">
    <w:name w:val="Balloon Text"/>
    <w:basedOn w:val="a"/>
    <w:link w:val="a7"/>
    <w:uiPriority w:val="99"/>
    <w:semiHidden/>
    <w:unhideWhenUsed/>
    <w:rsid w:val="00B214FD"/>
    <w:rPr>
      <w:rFonts w:ascii="Tahoma" w:hAnsi="Tahoma" w:cs="Tahoma"/>
      <w:sz w:val="16"/>
      <w:szCs w:val="16"/>
    </w:rPr>
  </w:style>
  <w:style w:type="character" w:customStyle="1" w:styleId="a7">
    <w:name w:val="Текст выноски Знак"/>
    <w:basedOn w:val="a0"/>
    <w:link w:val="a6"/>
    <w:uiPriority w:val="99"/>
    <w:semiHidden/>
    <w:rsid w:val="00B214FD"/>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18E9-B790-4F03-A7E3-863B22F0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5</cp:revision>
  <cp:lastPrinted>2019-05-14T04:55:00Z</cp:lastPrinted>
  <dcterms:created xsi:type="dcterms:W3CDTF">2019-05-14T04:32:00Z</dcterms:created>
  <dcterms:modified xsi:type="dcterms:W3CDTF">2019-06-17T03:10:00Z</dcterms:modified>
</cp:coreProperties>
</file>